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D01" w:rsidRDefault="00153D01" w:rsidP="00153D01">
      <w:pPr>
        <w:jc w:val="center"/>
        <w:rPr>
          <w:rFonts w:ascii="Times New Roman" w:hAnsi="Times New Roman" w:cs="Times New Roman"/>
          <w:sz w:val="24"/>
          <w:szCs w:val="24"/>
        </w:rPr>
      </w:pPr>
    </w:p>
    <w:p w:rsidR="00153D01" w:rsidRDefault="00153D01" w:rsidP="00153D01">
      <w:pPr>
        <w:jc w:val="center"/>
        <w:rPr>
          <w:rFonts w:ascii="Times New Roman" w:hAnsi="Times New Roman" w:cs="Times New Roman"/>
          <w:sz w:val="24"/>
          <w:szCs w:val="24"/>
        </w:rPr>
      </w:pPr>
    </w:p>
    <w:p w:rsidR="00153D01" w:rsidRDefault="00153D01" w:rsidP="00153D01">
      <w:pPr>
        <w:jc w:val="center"/>
        <w:rPr>
          <w:rFonts w:ascii="Times New Roman" w:hAnsi="Times New Roman" w:cs="Times New Roman"/>
          <w:sz w:val="24"/>
          <w:szCs w:val="24"/>
        </w:rPr>
      </w:pPr>
    </w:p>
    <w:p w:rsidR="00AB2006" w:rsidRDefault="00AB2006" w:rsidP="00153D01">
      <w:pPr>
        <w:jc w:val="center"/>
        <w:rPr>
          <w:rFonts w:ascii="Times New Roman" w:hAnsi="Times New Roman" w:cs="Times New Roman"/>
          <w:sz w:val="24"/>
          <w:szCs w:val="24"/>
        </w:rPr>
      </w:pPr>
    </w:p>
    <w:p w:rsidR="00AB2006" w:rsidRDefault="00AB2006" w:rsidP="00153D01">
      <w:pPr>
        <w:jc w:val="center"/>
        <w:rPr>
          <w:rFonts w:ascii="Times New Roman" w:hAnsi="Times New Roman" w:cs="Times New Roman"/>
          <w:sz w:val="24"/>
          <w:szCs w:val="24"/>
        </w:rPr>
      </w:pPr>
    </w:p>
    <w:p w:rsidR="00AB2006" w:rsidRDefault="00AB2006" w:rsidP="00153D01">
      <w:pPr>
        <w:jc w:val="center"/>
        <w:rPr>
          <w:rFonts w:ascii="Times New Roman" w:hAnsi="Times New Roman" w:cs="Times New Roman"/>
          <w:sz w:val="24"/>
          <w:szCs w:val="24"/>
        </w:rPr>
      </w:pPr>
    </w:p>
    <w:p w:rsidR="00153D01" w:rsidRDefault="00153D01" w:rsidP="002E0376">
      <w:pPr>
        <w:spacing w:line="480" w:lineRule="auto"/>
        <w:jc w:val="center"/>
        <w:rPr>
          <w:rFonts w:ascii="Times New Roman" w:hAnsi="Times New Roman" w:cs="Times New Roman"/>
          <w:sz w:val="24"/>
          <w:szCs w:val="24"/>
        </w:rPr>
      </w:pPr>
      <w:r w:rsidRPr="00153D01">
        <w:rPr>
          <w:rFonts w:ascii="Times New Roman" w:hAnsi="Times New Roman" w:cs="Times New Roman"/>
          <w:sz w:val="24"/>
          <w:szCs w:val="24"/>
        </w:rPr>
        <w:t xml:space="preserve">Money Supply </w:t>
      </w:r>
      <w:r w:rsidR="002E0376" w:rsidRPr="00153D01">
        <w:rPr>
          <w:rFonts w:ascii="Times New Roman" w:hAnsi="Times New Roman" w:cs="Times New Roman"/>
          <w:sz w:val="24"/>
          <w:szCs w:val="24"/>
        </w:rPr>
        <w:t>in</w:t>
      </w:r>
      <w:r w:rsidRPr="00153D01">
        <w:rPr>
          <w:rFonts w:ascii="Times New Roman" w:hAnsi="Times New Roman" w:cs="Times New Roman"/>
          <w:sz w:val="24"/>
          <w:szCs w:val="24"/>
        </w:rPr>
        <w:t xml:space="preserve"> The Long Run</w:t>
      </w:r>
    </w:p>
    <w:p w:rsidR="00153D01" w:rsidRPr="00153D01" w:rsidRDefault="00153D01" w:rsidP="002E0376">
      <w:pPr>
        <w:spacing w:line="480" w:lineRule="auto"/>
        <w:jc w:val="center"/>
        <w:rPr>
          <w:rFonts w:ascii="Times New Roman" w:hAnsi="Times New Roman" w:cs="Times New Roman"/>
          <w:sz w:val="24"/>
          <w:szCs w:val="24"/>
        </w:rPr>
      </w:pPr>
      <w:r w:rsidRPr="00153D01">
        <w:rPr>
          <w:rFonts w:ascii="Times New Roman" w:hAnsi="Times New Roman" w:cs="Times New Roman"/>
          <w:sz w:val="24"/>
          <w:szCs w:val="24"/>
        </w:rPr>
        <w:t>Student’s Name</w:t>
      </w:r>
    </w:p>
    <w:p w:rsidR="00153D01" w:rsidRDefault="00153D01" w:rsidP="002E0376">
      <w:pPr>
        <w:spacing w:line="480" w:lineRule="auto"/>
        <w:jc w:val="center"/>
        <w:rPr>
          <w:rFonts w:ascii="Times New Roman" w:hAnsi="Times New Roman" w:cs="Times New Roman"/>
          <w:sz w:val="24"/>
          <w:szCs w:val="24"/>
        </w:rPr>
      </w:pPr>
      <w:r w:rsidRPr="00153D01">
        <w:rPr>
          <w:rFonts w:ascii="Times New Roman" w:hAnsi="Times New Roman" w:cs="Times New Roman"/>
          <w:sz w:val="24"/>
          <w:szCs w:val="24"/>
        </w:rPr>
        <w:t>Institutional Affiliation</w:t>
      </w:r>
      <w:r>
        <w:rPr>
          <w:rFonts w:ascii="Times New Roman" w:hAnsi="Times New Roman" w:cs="Times New Roman"/>
          <w:sz w:val="24"/>
          <w:szCs w:val="24"/>
        </w:rPr>
        <w:br w:type="page"/>
      </w:r>
    </w:p>
    <w:p w:rsidR="00153D01" w:rsidRPr="00153D01" w:rsidRDefault="00153D01" w:rsidP="00153D01">
      <w:pPr>
        <w:spacing w:line="480" w:lineRule="auto"/>
        <w:jc w:val="center"/>
        <w:rPr>
          <w:rFonts w:ascii="Times New Roman" w:hAnsi="Times New Roman" w:cs="Times New Roman"/>
          <w:sz w:val="24"/>
          <w:szCs w:val="24"/>
        </w:rPr>
      </w:pPr>
      <w:r w:rsidRPr="00153D01">
        <w:rPr>
          <w:rFonts w:ascii="Times New Roman" w:hAnsi="Times New Roman" w:cs="Times New Roman"/>
          <w:sz w:val="24"/>
          <w:szCs w:val="24"/>
        </w:rPr>
        <w:lastRenderedPageBreak/>
        <w:t xml:space="preserve">Money Supply </w:t>
      </w:r>
      <w:r w:rsidR="002E0376" w:rsidRPr="00153D01">
        <w:rPr>
          <w:rFonts w:ascii="Times New Roman" w:hAnsi="Times New Roman" w:cs="Times New Roman"/>
          <w:sz w:val="24"/>
          <w:szCs w:val="24"/>
        </w:rPr>
        <w:t>in</w:t>
      </w:r>
      <w:r w:rsidRPr="00153D01">
        <w:rPr>
          <w:rFonts w:ascii="Times New Roman" w:hAnsi="Times New Roman" w:cs="Times New Roman"/>
          <w:sz w:val="24"/>
          <w:szCs w:val="24"/>
        </w:rPr>
        <w:t xml:space="preserve"> The Long Run</w:t>
      </w:r>
    </w:p>
    <w:p w:rsidR="00DD7E91" w:rsidRDefault="00AB77E7" w:rsidP="00DD7E91">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fed increases the money supply the aggregate demand also increases this is due to the increase of in consumption of goods and services</w:t>
      </w:r>
      <w:r w:rsidR="00AB2006">
        <w:rPr>
          <w:rFonts w:ascii="Times New Roman" w:hAnsi="Times New Roman" w:cs="Times New Roman"/>
          <w:sz w:val="24"/>
          <w:szCs w:val="24"/>
        </w:rPr>
        <w:t xml:space="preserve"> (Trabandt et al., 2016).</w:t>
      </w:r>
      <w:r>
        <w:rPr>
          <w:rFonts w:ascii="Times New Roman" w:hAnsi="Times New Roman" w:cs="Times New Roman"/>
          <w:sz w:val="24"/>
          <w:szCs w:val="24"/>
        </w:rPr>
        <w:t xml:space="preserve"> The aggregate demand curve also shifts from the initial position to higher level. </w:t>
      </w:r>
      <w:r w:rsidR="00B9128E">
        <w:rPr>
          <w:rFonts w:ascii="Times New Roman" w:hAnsi="Times New Roman" w:cs="Times New Roman"/>
          <w:sz w:val="24"/>
          <w:szCs w:val="24"/>
        </w:rPr>
        <w:t>Also in long run economy the prices and wages are flexible</w:t>
      </w:r>
      <w:r w:rsidR="0086600C">
        <w:rPr>
          <w:rFonts w:ascii="Times New Roman" w:hAnsi="Times New Roman" w:cs="Times New Roman"/>
          <w:sz w:val="24"/>
          <w:szCs w:val="24"/>
        </w:rPr>
        <w:t xml:space="preserve"> making the level of employment occur at the real wage. The quantity of labor demanded is equal to labor supplied in the economy. The GDP increases as result of all wages and prices are assumed to be flexible. The</w:t>
      </w:r>
      <w:r>
        <w:rPr>
          <w:rFonts w:ascii="Times New Roman" w:hAnsi="Times New Roman" w:cs="Times New Roman"/>
          <w:sz w:val="24"/>
          <w:szCs w:val="24"/>
        </w:rPr>
        <w:t xml:space="preserve"> diagram below shows the effects increase of money supply to the aggregate demand.</w:t>
      </w:r>
    </w:p>
    <w:p w:rsidR="00C8115E" w:rsidRDefault="00C8115E" w:rsidP="007630E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F14A74">
        <w:rPr>
          <w:rFonts w:ascii="Times New Roman" w:hAnsi="Times New Roman" w:cs="Times New Roman"/>
          <w:sz w:val="24"/>
          <w:szCs w:val="24"/>
        </w:rPr>
        <w:tab/>
      </w:r>
    </w:p>
    <w:p w:rsidR="00EB0BC1" w:rsidRDefault="000754E9" w:rsidP="007630E0">
      <w:pPr>
        <w:tabs>
          <w:tab w:val="left" w:pos="5190"/>
          <w:tab w:val="left" w:pos="75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EB0BC1">
        <w:rPr>
          <w:rFonts w:ascii="Times New Roman" w:hAnsi="Times New Roman" w:cs="Times New Roman"/>
          <w:sz w:val="24"/>
          <w:szCs w:val="24"/>
        </w:rPr>
        <w:t xml:space="preserve">n short run the when the prices level changes it also </w:t>
      </w:r>
      <w:r w:rsidR="002E0376">
        <w:rPr>
          <w:rFonts w:ascii="Times New Roman" w:hAnsi="Times New Roman" w:cs="Times New Roman"/>
          <w:sz w:val="24"/>
          <w:szCs w:val="24"/>
        </w:rPr>
        <w:t>affects</w:t>
      </w:r>
      <w:r w:rsidR="00EB0BC1">
        <w:rPr>
          <w:rFonts w:ascii="Times New Roman" w:hAnsi="Times New Roman" w:cs="Times New Roman"/>
          <w:sz w:val="24"/>
          <w:szCs w:val="24"/>
        </w:rPr>
        <w:t xml:space="preserve"> the level of consumption because an increase in prices lower the real</w:t>
      </w:r>
      <w:r>
        <w:rPr>
          <w:rFonts w:ascii="Times New Roman" w:hAnsi="Times New Roman" w:cs="Times New Roman"/>
          <w:sz w:val="24"/>
          <w:szCs w:val="24"/>
        </w:rPr>
        <w:t xml:space="preserve"> wage held by the workers. In addition, the level of output declines indicating higher level of unemployment. According to classical view, the price and the level of output will increase in the long run. However, in regard to Keynesian ideas, the </w:t>
      </w:r>
      <w:r>
        <w:rPr>
          <w:rFonts w:ascii="Times New Roman" w:hAnsi="Times New Roman" w:cs="Times New Roman"/>
          <w:sz w:val="24"/>
          <w:szCs w:val="24"/>
        </w:rPr>
        <w:lastRenderedPageBreak/>
        <w:t>price and the level of output will decrease since the aggregate demand will also decline</w:t>
      </w:r>
      <w:r w:rsidR="00AB2006">
        <w:rPr>
          <w:rFonts w:ascii="Times New Roman" w:hAnsi="Times New Roman" w:cs="Times New Roman"/>
          <w:sz w:val="24"/>
          <w:szCs w:val="24"/>
        </w:rPr>
        <w:t xml:space="preserve"> (Keynes, 2016)</w:t>
      </w:r>
      <w:r>
        <w:rPr>
          <w:rFonts w:ascii="Times New Roman" w:hAnsi="Times New Roman" w:cs="Times New Roman"/>
          <w:sz w:val="24"/>
          <w:szCs w:val="24"/>
        </w:rPr>
        <w:t>.</w:t>
      </w:r>
      <w:r w:rsidR="00153D01">
        <w:rPr>
          <w:rFonts w:ascii="Times New Roman" w:hAnsi="Times New Roman" w:cs="Times New Roman"/>
          <w:sz w:val="24"/>
          <w:szCs w:val="24"/>
        </w:rPr>
        <w:t xml:space="preserve"> The respective outcomes differ since the level of aggregate demand decline. Declining of the aggregate demand causes the difference between the outcomes according to classical and Keynesian views.</w:t>
      </w:r>
      <w:bookmarkStart w:id="0" w:name="_GoBack"/>
      <w:bookmarkEnd w:id="0"/>
    </w:p>
    <w:p w:rsidR="00153D01" w:rsidRDefault="00153D01" w:rsidP="00153D01">
      <w:pPr>
        <w:pStyle w:val="ListParagraph"/>
        <w:numPr>
          <w:ilvl w:val="0"/>
          <w:numId w:val="1"/>
        </w:numPr>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Money supply in the long run</w:t>
      </w:r>
    </w:p>
    <w:p w:rsidR="00153D01" w:rsidRDefault="00153D01" w:rsidP="00153D01">
      <w:pPr>
        <w:pStyle w:val="ListParagraph"/>
        <w:numPr>
          <w:ilvl w:val="0"/>
          <w:numId w:val="1"/>
        </w:numPr>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Output: decrease                                                     price level: decrease</w:t>
      </w:r>
    </w:p>
    <w:p w:rsidR="00153D01" w:rsidRDefault="00153D01" w:rsidP="00153D01">
      <w:pPr>
        <w:pStyle w:val="ListParagraph"/>
        <w:numPr>
          <w:ilvl w:val="0"/>
          <w:numId w:val="1"/>
        </w:numPr>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Keynes</w:t>
      </w:r>
    </w:p>
    <w:p w:rsidR="00153D01" w:rsidRDefault="00153D01" w:rsidP="00153D01">
      <w:pPr>
        <w:pStyle w:val="ListParagraph"/>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Output: decrease                                                     price level: decrease</w:t>
      </w:r>
    </w:p>
    <w:p w:rsidR="00153D01" w:rsidRDefault="00153D01" w:rsidP="00153D01">
      <w:pPr>
        <w:pStyle w:val="ListParagraph"/>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Classical</w:t>
      </w:r>
    </w:p>
    <w:p w:rsidR="00153D01" w:rsidRDefault="00153D01" w:rsidP="00153D01">
      <w:pPr>
        <w:pStyle w:val="ListParagraph"/>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Output: increase                                                      price level: increase</w:t>
      </w:r>
    </w:p>
    <w:p w:rsidR="00153D01" w:rsidRDefault="00153D01" w:rsidP="00153D01">
      <w:pPr>
        <w:pStyle w:val="ListParagraph"/>
        <w:tabs>
          <w:tab w:val="left" w:pos="5190"/>
          <w:tab w:val="left" w:pos="7500"/>
        </w:tabs>
        <w:spacing w:line="480" w:lineRule="auto"/>
        <w:rPr>
          <w:rFonts w:ascii="Times New Roman" w:hAnsi="Times New Roman" w:cs="Times New Roman"/>
          <w:sz w:val="24"/>
          <w:szCs w:val="24"/>
        </w:rPr>
      </w:pPr>
      <w:r>
        <w:rPr>
          <w:rFonts w:ascii="Times New Roman" w:hAnsi="Times New Roman" w:cs="Times New Roman"/>
          <w:sz w:val="24"/>
          <w:szCs w:val="24"/>
        </w:rPr>
        <w:t>Cause. Decline of the aggregate demand in the long run</w:t>
      </w:r>
    </w:p>
    <w:p w:rsidR="00AB2006" w:rsidRDefault="00AB2006">
      <w:pPr>
        <w:rPr>
          <w:rFonts w:ascii="Times New Roman" w:hAnsi="Times New Roman" w:cs="Times New Roman"/>
          <w:sz w:val="24"/>
          <w:szCs w:val="24"/>
        </w:rPr>
      </w:pPr>
      <w:r>
        <w:rPr>
          <w:rFonts w:ascii="Times New Roman" w:hAnsi="Times New Roman" w:cs="Times New Roman"/>
          <w:sz w:val="24"/>
          <w:szCs w:val="24"/>
        </w:rPr>
        <w:br w:type="page"/>
      </w:r>
    </w:p>
    <w:p w:rsidR="00AB2006" w:rsidRDefault="00AB2006" w:rsidP="00AB2006">
      <w:pPr>
        <w:tabs>
          <w:tab w:val="left" w:pos="5190"/>
          <w:tab w:val="left" w:pos="750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B2006" w:rsidRPr="00AB2006" w:rsidRDefault="00AB2006" w:rsidP="00AB2006">
      <w:pPr>
        <w:tabs>
          <w:tab w:val="left" w:pos="5190"/>
          <w:tab w:val="left" w:pos="7500"/>
        </w:tabs>
        <w:spacing w:line="480" w:lineRule="auto"/>
        <w:ind w:left="720" w:hanging="720"/>
        <w:rPr>
          <w:rFonts w:ascii="Times New Roman" w:hAnsi="Times New Roman" w:cs="Times New Roman"/>
          <w:sz w:val="24"/>
          <w:szCs w:val="24"/>
        </w:rPr>
      </w:pPr>
      <w:r w:rsidRPr="00AB2006">
        <w:rPr>
          <w:rFonts w:ascii="Times New Roman" w:hAnsi="Times New Roman" w:cs="Times New Roman"/>
          <w:sz w:val="24"/>
          <w:szCs w:val="24"/>
        </w:rPr>
        <w:t>Keynes, J. M. (2016). General theory of employment, interest and money. Atlantic Publishers &amp; Dist.</w:t>
      </w:r>
    </w:p>
    <w:p w:rsidR="00AB2006" w:rsidRPr="00AB2006" w:rsidRDefault="00AB2006" w:rsidP="00AB2006">
      <w:pPr>
        <w:tabs>
          <w:tab w:val="left" w:pos="5190"/>
          <w:tab w:val="left" w:pos="7500"/>
        </w:tabs>
        <w:spacing w:line="480" w:lineRule="auto"/>
        <w:ind w:left="720" w:hanging="720"/>
        <w:rPr>
          <w:rFonts w:ascii="Times New Roman" w:hAnsi="Times New Roman" w:cs="Times New Roman"/>
          <w:sz w:val="24"/>
          <w:szCs w:val="24"/>
        </w:rPr>
      </w:pPr>
      <w:r w:rsidRPr="00AB2006">
        <w:rPr>
          <w:rFonts w:ascii="Times New Roman" w:hAnsi="Times New Roman" w:cs="Times New Roman"/>
          <w:sz w:val="24"/>
          <w:szCs w:val="24"/>
        </w:rPr>
        <w:t>Trabandt, M., Walentin, K., &amp; Christiano, L. (2016). Involuntary Unemployment and the Business Cycle. In 2016 Meeting Papers (No. 194). Society for Economic Dynamics.</w:t>
      </w:r>
    </w:p>
    <w:sectPr w:rsidR="00AB2006" w:rsidRPr="00AB2006" w:rsidSect="00153D01">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A48" w:rsidRDefault="006B7A48" w:rsidP="00153D01">
      <w:pPr>
        <w:spacing w:after="0" w:line="240" w:lineRule="auto"/>
      </w:pPr>
      <w:r>
        <w:separator/>
      </w:r>
    </w:p>
  </w:endnote>
  <w:endnote w:type="continuationSeparator" w:id="0">
    <w:p w:rsidR="006B7A48" w:rsidRDefault="006B7A48" w:rsidP="001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A48" w:rsidRDefault="006B7A48" w:rsidP="00153D01">
      <w:pPr>
        <w:spacing w:after="0" w:line="240" w:lineRule="auto"/>
      </w:pPr>
      <w:r>
        <w:separator/>
      </w:r>
    </w:p>
  </w:footnote>
  <w:footnote w:type="continuationSeparator" w:id="0">
    <w:p w:rsidR="006B7A48" w:rsidRDefault="006B7A48" w:rsidP="00153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286956"/>
      <w:docPartObj>
        <w:docPartGallery w:val="Page Numbers (Top of Page)"/>
        <w:docPartUnique/>
      </w:docPartObj>
    </w:sdtPr>
    <w:sdtEndPr>
      <w:rPr>
        <w:rFonts w:ascii="Times New Roman" w:hAnsi="Times New Roman" w:cs="Times New Roman"/>
        <w:noProof/>
        <w:sz w:val="24"/>
        <w:szCs w:val="24"/>
      </w:rPr>
    </w:sdtEndPr>
    <w:sdtContent>
      <w:p w:rsidR="002E0376" w:rsidRPr="002E0376" w:rsidRDefault="002E0376">
        <w:pPr>
          <w:pStyle w:val="Header"/>
          <w:jc w:val="right"/>
          <w:rPr>
            <w:rFonts w:ascii="Times New Roman" w:hAnsi="Times New Roman" w:cs="Times New Roman"/>
            <w:sz w:val="24"/>
            <w:szCs w:val="24"/>
          </w:rPr>
        </w:pPr>
        <w:r w:rsidRPr="002E0376">
          <w:rPr>
            <w:rFonts w:ascii="Times New Roman" w:hAnsi="Times New Roman" w:cs="Times New Roman"/>
            <w:sz w:val="24"/>
            <w:szCs w:val="24"/>
          </w:rPr>
          <w:t>MONEY SUPPLY IN THE LONG RUN</w:t>
        </w:r>
        <w:r>
          <w:rPr>
            <w:rFonts w:ascii="Times New Roman" w:hAnsi="Times New Roman" w:cs="Times New Roman"/>
            <w:sz w:val="24"/>
            <w:szCs w:val="24"/>
          </w:rPr>
          <w:t xml:space="preserve">                                                                                      </w:t>
        </w:r>
        <w:r w:rsidRPr="002E0376">
          <w:rPr>
            <w:rFonts w:ascii="Times New Roman" w:hAnsi="Times New Roman" w:cs="Times New Roman"/>
            <w:sz w:val="24"/>
            <w:szCs w:val="24"/>
          </w:rPr>
          <w:fldChar w:fldCharType="begin"/>
        </w:r>
        <w:r w:rsidRPr="002E0376">
          <w:rPr>
            <w:rFonts w:ascii="Times New Roman" w:hAnsi="Times New Roman" w:cs="Times New Roman"/>
            <w:sz w:val="24"/>
            <w:szCs w:val="24"/>
          </w:rPr>
          <w:instrText xml:space="preserve"> PAGE   \* MERGEFORMAT </w:instrText>
        </w:r>
        <w:r w:rsidRPr="002E0376">
          <w:rPr>
            <w:rFonts w:ascii="Times New Roman" w:hAnsi="Times New Roman" w:cs="Times New Roman"/>
            <w:sz w:val="24"/>
            <w:szCs w:val="24"/>
          </w:rPr>
          <w:fldChar w:fldCharType="separate"/>
        </w:r>
        <w:r w:rsidR="007630E0">
          <w:rPr>
            <w:rFonts w:ascii="Times New Roman" w:hAnsi="Times New Roman" w:cs="Times New Roman"/>
            <w:noProof/>
            <w:sz w:val="24"/>
            <w:szCs w:val="24"/>
          </w:rPr>
          <w:t>3</w:t>
        </w:r>
        <w:r w:rsidRPr="002E0376">
          <w:rPr>
            <w:rFonts w:ascii="Times New Roman" w:hAnsi="Times New Roman" w:cs="Times New Roman"/>
            <w:noProof/>
            <w:sz w:val="24"/>
            <w:szCs w:val="24"/>
          </w:rPr>
          <w:fldChar w:fldCharType="end"/>
        </w:r>
      </w:p>
    </w:sdtContent>
  </w:sdt>
  <w:p w:rsidR="002E0376" w:rsidRDefault="002E037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629651"/>
      <w:docPartObj>
        <w:docPartGallery w:val="Page Numbers (Top of Page)"/>
        <w:docPartUnique/>
      </w:docPartObj>
    </w:sdtPr>
    <w:sdtEndPr>
      <w:rPr>
        <w:rFonts w:ascii="Times New Roman" w:hAnsi="Times New Roman" w:cs="Times New Roman"/>
        <w:noProof/>
        <w:sz w:val="24"/>
        <w:szCs w:val="24"/>
      </w:rPr>
    </w:sdtEndPr>
    <w:sdtContent>
      <w:p w:rsidR="00153D01" w:rsidRPr="002E0376" w:rsidRDefault="002E0376" w:rsidP="002E0376">
        <w:pPr>
          <w:pStyle w:val="Header"/>
          <w:rPr>
            <w:rFonts w:ascii="Times New Roman" w:hAnsi="Times New Roman" w:cs="Times New Roman"/>
            <w:sz w:val="24"/>
            <w:szCs w:val="24"/>
          </w:rPr>
        </w:pPr>
        <w:r w:rsidRPr="002E0376">
          <w:rPr>
            <w:rFonts w:ascii="Times New Roman" w:hAnsi="Times New Roman" w:cs="Times New Roman"/>
            <w:sz w:val="24"/>
            <w:szCs w:val="24"/>
          </w:rPr>
          <w:t>Running head: MONEY SUPPLY IN THE LONG RUN</w:t>
        </w:r>
      </w:p>
    </w:sdtContent>
  </w:sdt>
  <w:p w:rsidR="00153D01" w:rsidRDefault="00153D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40255"/>
    <w:multiLevelType w:val="hybridMultilevel"/>
    <w:tmpl w:val="F5043B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7E7"/>
    <w:rsid w:val="000754E9"/>
    <w:rsid w:val="00153D01"/>
    <w:rsid w:val="002E0376"/>
    <w:rsid w:val="003A7831"/>
    <w:rsid w:val="005161A8"/>
    <w:rsid w:val="00666840"/>
    <w:rsid w:val="006A42EF"/>
    <w:rsid w:val="006B7A48"/>
    <w:rsid w:val="007630E0"/>
    <w:rsid w:val="007D536A"/>
    <w:rsid w:val="007F5768"/>
    <w:rsid w:val="0086600C"/>
    <w:rsid w:val="008B7D71"/>
    <w:rsid w:val="008F3E8E"/>
    <w:rsid w:val="00AB2006"/>
    <w:rsid w:val="00AB77E7"/>
    <w:rsid w:val="00B86952"/>
    <w:rsid w:val="00B9128E"/>
    <w:rsid w:val="00BB65C4"/>
    <w:rsid w:val="00C8115E"/>
    <w:rsid w:val="00DD7E91"/>
    <w:rsid w:val="00E72841"/>
    <w:rsid w:val="00EB0BC1"/>
    <w:rsid w:val="00F14A74"/>
    <w:rsid w:val="00FB6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B32F"/>
  <w15:chartTrackingRefBased/>
  <w15:docId w15:val="{E972A57F-57B0-4592-8D61-DAEB6B44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01"/>
    <w:pPr>
      <w:ind w:left="720"/>
      <w:contextualSpacing/>
    </w:pPr>
  </w:style>
  <w:style w:type="paragraph" w:styleId="Header">
    <w:name w:val="header"/>
    <w:basedOn w:val="Normal"/>
    <w:link w:val="HeaderChar"/>
    <w:uiPriority w:val="99"/>
    <w:unhideWhenUsed/>
    <w:rsid w:val="00153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01"/>
  </w:style>
  <w:style w:type="paragraph" w:styleId="Footer">
    <w:name w:val="footer"/>
    <w:basedOn w:val="Normal"/>
    <w:link w:val="FooterChar"/>
    <w:uiPriority w:val="99"/>
    <w:unhideWhenUsed/>
    <w:rsid w:val="001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Money</a:t>
            </a:r>
            <a:r>
              <a:rPr lang="en-US" baseline="0"/>
              <a:t> supply in the long-run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9905402449693789E-2"/>
          <c:y val="0.12734126984126987"/>
          <c:w val="0.90852052347623213"/>
          <c:h val="0.76076084239470065"/>
        </c:manualLayout>
      </c:layout>
      <c:scatterChart>
        <c:scatterStyle val="lineMarker"/>
        <c:varyColors val="0"/>
        <c:ser>
          <c:idx val="0"/>
          <c:order val="0"/>
          <c:tx>
            <c:strRef>
              <c:f>Sheet1!$B$1</c:f>
              <c:strCache>
                <c:ptCount val="1"/>
                <c:pt idx="0">
                  <c:v>Column1</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Sheet1!$A$2:$A$4</c:f>
              <c:numCache>
                <c:formatCode>General</c:formatCode>
                <c:ptCount val="3"/>
                <c:pt idx="2">
                  <c:v>2.6</c:v>
                </c:pt>
              </c:numCache>
            </c:numRef>
          </c:xVal>
          <c:yVal>
            <c:numRef>
              <c:f>Sheet1!$B$2:$B$4</c:f>
              <c:numCache>
                <c:formatCode>General</c:formatCode>
                <c:ptCount val="3"/>
              </c:numCache>
            </c:numRef>
          </c:yVal>
          <c:smooth val="0"/>
          <c:extLst>
            <c:ext xmlns:c16="http://schemas.microsoft.com/office/drawing/2014/chart" uri="{C3380CC4-5D6E-409C-BE32-E72D297353CC}">
              <c16:uniqueId val="{00000000-FC2D-4129-B223-90B116AC27D3}"/>
            </c:ext>
          </c:extLst>
        </c:ser>
        <c:dLbls>
          <c:showLegendKey val="0"/>
          <c:showVal val="0"/>
          <c:showCatName val="0"/>
          <c:showSerName val="0"/>
          <c:showPercent val="0"/>
          <c:showBubbleSize val="0"/>
        </c:dLbls>
        <c:axId val="396641088"/>
        <c:axId val="396632888"/>
      </c:scatterChart>
      <c:valAx>
        <c:axId val="396641088"/>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Real</a:t>
                </a:r>
                <a:r>
                  <a:rPr lang="en-US" baseline="0"/>
                  <a:t> </a:t>
                </a:r>
                <a:r>
                  <a:rPr lang="en-US"/>
                  <a:t>GDP        AD3                 AD1                                    AD2</a:t>
                </a:r>
              </a:p>
            </c:rich>
          </c:tx>
          <c:layout>
            <c:manualLayout>
              <c:xMode val="edge"/>
              <c:yMode val="edge"/>
              <c:x val="0.41748742344706913"/>
              <c:y val="0.884133858267716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396632888"/>
        <c:crosses val="autoZero"/>
        <c:crossBetween val="midCat"/>
      </c:valAx>
      <c:valAx>
        <c:axId val="396632888"/>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3966410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0.21354</cdr:x>
      <cdr:y>0.19643</cdr:y>
    </cdr:from>
    <cdr:to>
      <cdr:x>0.21354</cdr:x>
      <cdr:y>0.83036</cdr:y>
    </cdr:to>
    <cdr:cxnSp macro="">
      <cdr:nvCxnSpPr>
        <cdr:cNvPr id="5" name="Straight Connector 4"/>
        <cdr:cNvCxnSpPr/>
      </cdr:nvCxnSpPr>
      <cdr:spPr>
        <a:xfrm xmlns:a="http://schemas.openxmlformats.org/drawingml/2006/main">
          <a:off x="1171575" y="628650"/>
          <a:ext cx="0" cy="20288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0.36458</cdr:x>
      <cdr:y>0.21131</cdr:y>
    </cdr:from>
    <cdr:to>
      <cdr:x>0.36632</cdr:x>
      <cdr:y>0.82143</cdr:y>
    </cdr:to>
    <cdr:cxnSp macro="">
      <cdr:nvCxnSpPr>
        <cdr:cNvPr id="8" name="Straight Connector 7"/>
        <cdr:cNvCxnSpPr/>
      </cdr:nvCxnSpPr>
      <cdr:spPr>
        <a:xfrm xmlns:a="http://schemas.openxmlformats.org/drawingml/2006/main" flipH="1">
          <a:off x="2000250" y="676275"/>
          <a:ext cx="9525" cy="19526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0.51389</cdr:x>
      <cdr:y>0.22619</cdr:y>
    </cdr:from>
    <cdr:to>
      <cdr:x>0.51736</cdr:x>
      <cdr:y>0.83036</cdr:y>
    </cdr:to>
    <cdr:cxnSp macro="">
      <cdr:nvCxnSpPr>
        <cdr:cNvPr id="10" name="Straight Connector 9"/>
        <cdr:cNvCxnSpPr/>
      </cdr:nvCxnSpPr>
      <cdr:spPr>
        <a:xfrm xmlns:a="http://schemas.openxmlformats.org/drawingml/2006/main" flipH="1">
          <a:off x="2819400" y="723900"/>
          <a:ext cx="19050" cy="19335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0.6684</cdr:x>
      <cdr:y>0.24107</cdr:y>
    </cdr:from>
    <cdr:to>
      <cdr:x>0.6684</cdr:x>
      <cdr:y>0.82738</cdr:y>
    </cdr:to>
    <cdr:cxnSp macro="">
      <cdr:nvCxnSpPr>
        <cdr:cNvPr id="12" name="Straight Connector 11"/>
        <cdr:cNvCxnSpPr/>
      </cdr:nvCxnSpPr>
      <cdr:spPr>
        <a:xfrm xmlns:a="http://schemas.openxmlformats.org/drawingml/2006/main">
          <a:off x="3667125" y="771525"/>
          <a:ext cx="0" cy="18764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0.81771</cdr:x>
      <cdr:y>0.24405</cdr:y>
    </cdr:from>
    <cdr:to>
      <cdr:x>0.82118</cdr:x>
      <cdr:y>0.83929</cdr:y>
    </cdr:to>
    <cdr:cxnSp macro="">
      <cdr:nvCxnSpPr>
        <cdr:cNvPr id="14" name="Straight Connector 13"/>
        <cdr:cNvCxnSpPr/>
      </cdr:nvCxnSpPr>
      <cdr:spPr>
        <a:xfrm xmlns:a="http://schemas.openxmlformats.org/drawingml/2006/main" flipH="1">
          <a:off x="4486275" y="781050"/>
          <a:ext cx="19050" cy="19050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0.19792</cdr:x>
      <cdr:y>0.26488</cdr:y>
    </cdr:from>
    <cdr:to>
      <cdr:x>0.46875</cdr:x>
      <cdr:y>0.8244</cdr:y>
    </cdr:to>
    <cdr:cxnSp macro="">
      <cdr:nvCxnSpPr>
        <cdr:cNvPr id="16" name="Straight Connector 15"/>
        <cdr:cNvCxnSpPr/>
      </cdr:nvCxnSpPr>
      <cdr:spPr>
        <a:xfrm xmlns:a="http://schemas.openxmlformats.org/drawingml/2006/main">
          <a:off x="1085850" y="847725"/>
          <a:ext cx="1485900" cy="17907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0.36632</cdr:x>
      <cdr:y>0.27976</cdr:y>
    </cdr:from>
    <cdr:to>
      <cdr:x>0.70139</cdr:x>
      <cdr:y>0.82738</cdr:y>
    </cdr:to>
    <cdr:cxnSp macro="">
      <cdr:nvCxnSpPr>
        <cdr:cNvPr id="18" name="Straight Connector 17"/>
        <cdr:cNvCxnSpPr/>
      </cdr:nvCxnSpPr>
      <cdr:spPr>
        <a:xfrm xmlns:a="http://schemas.openxmlformats.org/drawingml/2006/main">
          <a:off x="2009775" y="895350"/>
          <a:ext cx="1838325" cy="17526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0.61806</cdr:x>
      <cdr:y>0.29464</cdr:y>
    </cdr:from>
    <cdr:to>
      <cdr:x>0.97222</cdr:x>
      <cdr:y>0.81548</cdr:y>
    </cdr:to>
    <cdr:cxnSp macro="">
      <cdr:nvCxnSpPr>
        <cdr:cNvPr id="20" name="Straight Connector 19"/>
        <cdr:cNvCxnSpPr/>
      </cdr:nvCxnSpPr>
      <cdr:spPr>
        <a:xfrm xmlns:a="http://schemas.openxmlformats.org/drawingml/2006/main">
          <a:off x="3390900" y="942975"/>
          <a:ext cx="1943100" cy="166687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0.32465</cdr:x>
      <cdr:y>0.52976</cdr:y>
    </cdr:from>
    <cdr:to>
      <cdr:x>0.42014</cdr:x>
      <cdr:y>0.68452</cdr:y>
    </cdr:to>
    <cdr:cxnSp macro="">
      <cdr:nvCxnSpPr>
        <cdr:cNvPr id="22" name="Straight Connector 21"/>
        <cdr:cNvCxnSpPr/>
      </cdr:nvCxnSpPr>
      <cdr:spPr>
        <a:xfrm xmlns:a="http://schemas.openxmlformats.org/drawingml/2006/main" flipH="1">
          <a:off x="1781175" y="1695450"/>
          <a:ext cx="523875" cy="495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0.34722</cdr:x>
      <cdr:y>0.52976</cdr:y>
    </cdr:from>
    <cdr:to>
      <cdr:x>0.42361</cdr:x>
      <cdr:y>0.52976</cdr:y>
    </cdr:to>
    <cdr:cxnSp macro="">
      <cdr:nvCxnSpPr>
        <cdr:cNvPr id="24" name="Straight Arrow Connector 23"/>
        <cdr:cNvCxnSpPr/>
      </cdr:nvCxnSpPr>
      <cdr:spPr>
        <a:xfrm xmlns:a="http://schemas.openxmlformats.org/drawingml/2006/main" flipH="1">
          <a:off x="1905000" y="1695450"/>
          <a:ext cx="419100" cy="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0.72743</cdr:x>
      <cdr:y>0.50595</cdr:y>
    </cdr:from>
    <cdr:to>
      <cdr:x>0.86979</cdr:x>
      <cdr:y>0.6756</cdr:y>
    </cdr:to>
    <cdr:cxnSp macro="">
      <cdr:nvCxnSpPr>
        <cdr:cNvPr id="26" name="Straight Connector 25"/>
        <cdr:cNvCxnSpPr/>
      </cdr:nvCxnSpPr>
      <cdr:spPr>
        <a:xfrm xmlns:a="http://schemas.openxmlformats.org/drawingml/2006/main" flipH="1">
          <a:off x="3990975" y="1619250"/>
          <a:ext cx="781050" cy="5429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0.74479</cdr:x>
      <cdr:y>0.67857</cdr:y>
    </cdr:from>
    <cdr:to>
      <cdr:x>0.80382</cdr:x>
      <cdr:y>0.67857</cdr:y>
    </cdr:to>
    <cdr:cxnSp macro="">
      <cdr:nvCxnSpPr>
        <cdr:cNvPr id="28" name="Straight Arrow Connector 27"/>
        <cdr:cNvCxnSpPr/>
      </cdr:nvCxnSpPr>
      <cdr:spPr>
        <a:xfrm xmlns:a="http://schemas.openxmlformats.org/drawingml/2006/main">
          <a:off x="4086225" y="2171700"/>
          <a:ext cx="323850" cy="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B8E76-34B5-4E8D-86DB-08D141452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3</cp:revision>
  <dcterms:created xsi:type="dcterms:W3CDTF">2018-03-05T17:59:00Z</dcterms:created>
  <dcterms:modified xsi:type="dcterms:W3CDTF">2018-03-05T18:47:00Z</dcterms:modified>
</cp:coreProperties>
</file>